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(8-6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第二个档次(5-3分)：投标文件内容完整、真实、齐全，编制水平良好；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第三个档次(2-0分)：投标文件内容基本完整，编制水平一般。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(30-24分)：响应设备性能、技术参数、配置等主要指标完全满足科室临床业务开展需求，参与谈判人员充分了解产品技术指标、操作和使用，提供设备耗材、维保、易损易耗件报价且价格对比其他响应供应商性价比较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(23-17分)：响应设备性能、技术参数、配置等主要指标一般满足科室临床业务开展需求，参与谈判人员一般了解产品技术指标、操作和使用，提供设备耗材、维保、易损易耗件报价且价格对比其他响应供应商性价比一般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第三个档次(16-10分)：响应设备性能、技术参数、配置等主要指标不能满足科室临床业务开展需求，参与谈判人员不了解产品技术指标、操作和使用，未提供设备耗材、维保、易损易耗件报价且价格。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15-10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第二个档次（9-5分）：有规范的服务体系、管理体系，售后服务方案、技术方案、培训方案具体可行，有一定的针对性，有明确的违约责任，现场服务技术力量及人员组成良好；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第三个档次（4-0分）：服务体系、管理体系规范性一般，售后服务方案、技术方案、培训方案基本可行，但缺乏针对性，违约责任不具体，现场服务技术力量及人员组成一般。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按医院下单至安装验收交付期限天数（到货期）时间由短至长排序，交付期限最短得满分5分，按排序依次递减1分，排名相同得分相同。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质保3年得基础分5分，每增加1年得1分，满分7分。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2022年至今参与项目供应商销售响应产品的业绩，提供1个得基础分2分，每增加一个得1分，满分5分，未提供不得分。（业绩需2022年至今签订的合同、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发票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复印件加盖公章作为证明材料）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