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 xml:space="preserve">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  <w:lang w:val="en-US" w:eastAsia="zh-CN"/>
        </w:rPr>
        <w:t>倒置相差显微镜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技术参数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光学系统：采用NIS无限远光学系统（F200），提供高分辨率和高对比度的图像。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落射荧光附件：落射荧光滤光块转盘可配置至少三个滤光块，并配备遮光板，满足不同荧光染料的观察需求。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调焦机构：采用粗微动同轴调焦设计，配备左右微动手轮互换机构。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转换器：采用编码式五孔转换器，方便物镜的快速切换和定位。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聚光镜：长距聚光镜，适应不同厚度的样品。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目镜：提供多种目镜类型及视场选择，如SW10×（22）、WF15×（16）、WF20×（12）等，满足不同观察和测量需求。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▲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落射照明：高亮度白光LED照明，内置复眼透镜，最多可配置3个不同的LED荧光光源，</w:t>
      </w:r>
      <w:r>
        <w:rPr>
          <w:rFonts w:hint="eastAsia" w:ascii="仿宋_GB2312" w:hAnsi="仿宋_GB2312" w:eastAsia="仿宋_GB2312" w:cs="仿宋_GB2312"/>
          <w:sz w:val="28"/>
          <w:szCs w:val="36"/>
          <w:highlight w:val="none"/>
          <w:lang w:val="en-US" w:eastAsia="zh-CN"/>
        </w:rPr>
        <w:t>可用波长包括至少365、405、485、525nm等不同长度，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满足多种荧光观察需求。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观察方式：支持多种观察方式，包括明场、相衬、霍夫曼相衬、浮雕反差和落射荧光，适用于不同的样品观察需求。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镜筒：配备一体式铰链式观察镜筒，45±10度倾斜，瞳距调节范围为48-75mm，可配置摄像端口，目镜与端口的分光比为100/0或0/100。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液晶屏：具备功能显示，包括倍率、定时休眠、亮度指示及锁定等，方便用户操作和设置。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相衬系统：支持4×相衬，10×、20×、40×通用相衬环板，适用于不同放大倍数下的相衬观察。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霍夫曼相衬系统：配备10×、20×、40×等规格霍夫曼聚光镜及配套专用物镜，增强相衬效果。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浮雕3D反差：在聚光镜处配置浮雕反差调节滑块，目镜筒侧配置浮雕反差滑板，适用于10×、20×、40×等规格物镜，增加图像的立体感。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载物台：采用平板载物台，带载物台插入圆板，可选加长托板；机械载物台行程为128（X）×80（Y）（±5%），兼容五种微型实验板，多孔板夹和载物台夹，方便样品移动和定位。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摄像摄影附件：提供1×、0.5×型C接口，方便连接摄像设备进行图像采集。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照明：投射照明采用LED光源，提供均匀稳定的照明。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其他：具备ECO模式和加热平台功能，提高设备的能效和适用性。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</w:p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技术评分按满分50分算，评分标准重要参数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分，一般参数不响应一条扣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1.5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48C8DE"/>
    <w:multiLevelType w:val="singleLevel"/>
    <w:tmpl w:val="2248C8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84C28"/>
    <w:rsid w:val="00291EE7"/>
    <w:rsid w:val="00635B77"/>
    <w:rsid w:val="020E5E42"/>
    <w:rsid w:val="02873FE6"/>
    <w:rsid w:val="03C07382"/>
    <w:rsid w:val="054F7DA8"/>
    <w:rsid w:val="0B99303A"/>
    <w:rsid w:val="0C405E58"/>
    <w:rsid w:val="101527AE"/>
    <w:rsid w:val="120A1C5B"/>
    <w:rsid w:val="188D6257"/>
    <w:rsid w:val="1A2548AE"/>
    <w:rsid w:val="1A79541C"/>
    <w:rsid w:val="1C145E91"/>
    <w:rsid w:val="1FD22B39"/>
    <w:rsid w:val="21747D6F"/>
    <w:rsid w:val="262A6419"/>
    <w:rsid w:val="27C73D6B"/>
    <w:rsid w:val="2C680E78"/>
    <w:rsid w:val="301C48B0"/>
    <w:rsid w:val="3339649A"/>
    <w:rsid w:val="350F4C37"/>
    <w:rsid w:val="38B34BE8"/>
    <w:rsid w:val="38F44C8E"/>
    <w:rsid w:val="3B65138C"/>
    <w:rsid w:val="41400763"/>
    <w:rsid w:val="44181CC0"/>
    <w:rsid w:val="449B31CA"/>
    <w:rsid w:val="45317D28"/>
    <w:rsid w:val="48AA18A2"/>
    <w:rsid w:val="4A262ACF"/>
    <w:rsid w:val="4C802339"/>
    <w:rsid w:val="4D194A47"/>
    <w:rsid w:val="4E8F2737"/>
    <w:rsid w:val="59A611DD"/>
    <w:rsid w:val="5EAB7241"/>
    <w:rsid w:val="61226FA4"/>
    <w:rsid w:val="64D06AE5"/>
    <w:rsid w:val="68284C28"/>
    <w:rsid w:val="69B17254"/>
    <w:rsid w:val="6B88487B"/>
    <w:rsid w:val="72720EB8"/>
    <w:rsid w:val="7B4717CF"/>
    <w:rsid w:val="7E985217"/>
    <w:rsid w:val="7FCB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