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kern w:val="2"/>
          <w:sz w:val="44"/>
          <w:szCs w:val="44"/>
          <w:u w:val="none"/>
          <w:lang w:val="en-US" w:eastAsia="zh-CN" w:bidi="ar-SA"/>
        </w:rPr>
      </w:pPr>
      <w:bookmarkStart w:id="0" w:name="_GoBack"/>
      <w:bookmarkEnd w:id="0"/>
      <w:r>
        <w:rPr>
          <w:rFonts w:hint="eastAsia" w:ascii="方正小标宋简体" w:hAnsi="方正小标宋简体" w:eastAsia="方正小标宋简体" w:cs="方正小标宋简体"/>
          <w:kern w:val="2"/>
          <w:sz w:val="44"/>
          <w:szCs w:val="44"/>
          <w:u w:val="single"/>
          <w:lang w:val="en-US" w:eastAsia="zh-CN" w:bidi="ar-SA"/>
        </w:rPr>
        <w:t xml:space="preserve"> </w:t>
      </w:r>
      <w:r>
        <w:rPr>
          <w:rFonts w:hint="eastAsia" w:ascii="方正小标宋简体" w:hAnsi="方正小标宋简体" w:eastAsia="方正小标宋简体" w:cs="方正小标宋简体"/>
          <w:kern w:val="2"/>
          <w:sz w:val="44"/>
          <w:szCs w:val="44"/>
          <w:u w:val="single"/>
          <w:lang w:val="en-US" w:eastAsia="zh-CN" w:bidi="ar-SA"/>
        </w:rPr>
        <w:t>高频电刀</w:t>
      </w:r>
      <w:r>
        <w:rPr>
          <w:rFonts w:hint="eastAsia" w:ascii="方正小标宋简体" w:hAnsi="方正小标宋简体" w:eastAsia="方正小标宋简体" w:cs="方正小标宋简体"/>
          <w:kern w:val="2"/>
          <w:sz w:val="44"/>
          <w:szCs w:val="44"/>
          <w:u w:val="single"/>
          <w:lang w:val="en-US" w:eastAsia="zh-CN" w:bidi="ar-SA"/>
        </w:rPr>
        <w:t xml:space="preserve"> </w:t>
      </w:r>
      <w:r>
        <w:rPr>
          <w:rFonts w:hint="eastAsia" w:ascii="方正小标宋简体" w:hAnsi="方正小标宋简体" w:eastAsia="方正小标宋简体" w:cs="方正小标宋简体"/>
          <w:kern w:val="2"/>
          <w:sz w:val="44"/>
          <w:szCs w:val="44"/>
          <w:u w:val="none"/>
          <w:lang w:val="en-US" w:eastAsia="zh-CN" w:bidi="ar-SA"/>
        </w:rPr>
        <w:t>技术参数</w:t>
      </w:r>
    </w:p>
    <w:p>
      <w:pPr>
        <w:wordWrap w:val="0"/>
        <w:jc w:val="both"/>
        <w:rPr>
          <w:rFonts w:hint="eastAsia" w:ascii="仿宋_GB2312" w:hAnsi="仿宋_GB2312" w:eastAsia="仿宋_GB2312" w:cs="仿宋_GB2312"/>
          <w:b/>
          <w:bCs/>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一、系统／主机性能</w:t>
      </w:r>
    </w:p>
    <w:p>
      <w:pPr>
        <w:wordWrap w:val="0"/>
        <w:jc w:val="both"/>
        <w:rPr>
          <w:rFonts w:hint="eastAsia" w:ascii="仿宋_GB2312" w:hAnsi="仿宋_GB2312" w:eastAsia="仿宋_GB2312" w:cs="仿宋_GB2312"/>
          <w:b/>
          <w:bCs/>
          <w:kern w:val="2"/>
          <w:sz w:val="28"/>
          <w:szCs w:val="36"/>
          <w:lang w:val="en-US" w:eastAsia="zh-CN" w:bidi="ar-SA"/>
        </w:rPr>
      </w:pPr>
      <w:r>
        <w:rPr>
          <w:rFonts w:hint="eastAsia" w:ascii="仿宋_GB2312" w:hAnsi="仿宋_GB2312" w:eastAsia="仿宋_GB2312" w:cs="仿宋_GB2312"/>
          <w:b/>
          <w:bCs/>
          <w:kern w:val="2"/>
          <w:sz w:val="28"/>
          <w:szCs w:val="36"/>
          <w:lang w:val="en-US" w:eastAsia="zh-CN" w:bidi="ar-SA"/>
        </w:rPr>
        <w:t>1．可同时连接2把单极器械、1把双极器械</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主机显示屏：具备清晰，高广角分辨率，全彩LCD触摸屏，显示≥四种不同的工作模式，可以通过触摸屏进行设备、耗材及系统的设置与检测，操作简易。</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所有器械均可使用自带手控按键或连接脚踏控制激发。</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所有器械接口均有在位状态及工作状态指示灯。</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触摸屏智能锁屏功能：为了防止对触摸屏的误操作，可开启触摸屏锁屏功能。锁屏功能开启后，超过1min无操作，触摸屏会自动锁定，确保使用安全。</w:t>
      </w:r>
    </w:p>
    <w:p>
      <w:pPr>
        <w:wordWrap w:val="0"/>
        <w:jc w:val="both"/>
        <w:rPr>
          <w:rFonts w:hint="eastAsia" w:ascii="仿宋_GB2312" w:hAnsi="仿宋_GB2312" w:eastAsia="仿宋_GB2312" w:cs="仿宋_GB2312"/>
          <w:b/>
          <w:bCs/>
          <w:kern w:val="2"/>
          <w:sz w:val="28"/>
          <w:szCs w:val="36"/>
          <w:lang w:val="en-US" w:eastAsia="zh-CN" w:bidi="ar-SA"/>
        </w:rPr>
      </w:pPr>
      <w:r>
        <w:rPr>
          <w:rFonts w:hint="eastAsia" w:ascii="仿宋_GB2312" w:hAnsi="仿宋_GB2312" w:eastAsia="仿宋_GB2312" w:cs="仿宋_GB2312"/>
          <w:b/>
          <w:bCs/>
          <w:kern w:val="2"/>
          <w:sz w:val="28"/>
          <w:szCs w:val="36"/>
          <w:lang w:val="en-US" w:eastAsia="zh-CN" w:bidi="ar-SA"/>
        </w:rPr>
        <w:t>2.主机技术</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具备有功功率补偿技术，克服了线缆不同长度，类型，组织差异造成的无功功率损耗，确保了不同应用场景下切割手感，凝血效果保持一致。</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具备自检功能，可诊断设备的连接及工作状况，根据出现问题的严重程度，分为高级和低级，提供不同声音的报警功能，当同时存在多个同类报警时，优先显示等级高的报警。</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报警发生时，可点击查看解决措施，便于操作者及时处理故障。</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提供报警确认键，按此键可关闭报警音。</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提供一键恢复键，按此键恢复上次关机前的电刀参数设置。</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可根据用户使用习惯预设保存参数配置，并自定义名称，在选择配置界面可选择已保存的参数配置。</w:t>
      </w:r>
    </w:p>
    <w:p>
      <w:pPr>
        <w:wordWrap w:val="0"/>
        <w:jc w:val="both"/>
        <w:rPr>
          <w:rFonts w:hint="eastAsia" w:ascii="仿宋_GB2312" w:hAnsi="仿宋_GB2312" w:eastAsia="仿宋_GB2312" w:cs="仿宋_GB2312"/>
          <w:b/>
          <w:bCs/>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二、功能及模式要求</w:t>
      </w:r>
    </w:p>
    <w:p>
      <w:pPr>
        <w:wordWrap w:val="0"/>
        <w:jc w:val="both"/>
        <w:rPr>
          <w:rFonts w:hint="eastAsia" w:ascii="仿宋_GB2312" w:hAnsi="仿宋_GB2312" w:eastAsia="仿宋_GB2312" w:cs="仿宋_GB2312"/>
          <w:b/>
          <w:bCs/>
          <w:kern w:val="2"/>
          <w:sz w:val="28"/>
          <w:szCs w:val="36"/>
          <w:lang w:val="en-US" w:eastAsia="zh-CN" w:bidi="ar-SA"/>
        </w:rPr>
      </w:pPr>
      <w:r>
        <w:rPr>
          <w:rFonts w:hint="eastAsia" w:ascii="仿宋_GB2312" w:hAnsi="仿宋_GB2312" w:eastAsia="仿宋_GB2312" w:cs="仿宋_GB2312"/>
          <w:b/>
          <w:bCs/>
          <w:kern w:val="2"/>
          <w:sz w:val="28"/>
          <w:szCs w:val="36"/>
          <w:lang w:val="en-US" w:eastAsia="zh-CN" w:bidi="ar-SA"/>
        </w:rPr>
        <w:t>1.单极功能</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单极切割模式：单极切割模式可设置为纯切、混切。</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单极凝血模式：单极凝血模式可设置为软凝、电灼、喷凝。</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单极切割、凝血模式的工作频率为434kHz。</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支持连接成人或新生儿类型中性电极，支持连接单片及双片类型中性电极。</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具备中性电极监测电路，连续性监测中性电极与主机或病人之间的连接状态，并提供相应报警。</w:t>
      </w:r>
    </w:p>
    <w:p>
      <w:pPr>
        <w:wordWrap w:val="0"/>
        <w:jc w:val="both"/>
        <w:rPr>
          <w:rFonts w:hint="eastAsia" w:ascii="仿宋_GB2312" w:hAnsi="仿宋_GB2312" w:eastAsia="仿宋_GB2312" w:cs="仿宋_GB2312"/>
          <w:b/>
          <w:bCs/>
          <w:kern w:val="2"/>
          <w:sz w:val="28"/>
          <w:szCs w:val="36"/>
          <w:lang w:val="en-US" w:eastAsia="zh-CN" w:bidi="ar-SA"/>
        </w:rPr>
      </w:pPr>
      <w:r>
        <w:rPr>
          <w:rFonts w:hint="eastAsia" w:ascii="仿宋_GB2312" w:hAnsi="仿宋_GB2312" w:eastAsia="仿宋_GB2312" w:cs="仿宋_GB2312"/>
          <w:b/>
          <w:bCs/>
          <w:kern w:val="2"/>
          <w:sz w:val="28"/>
          <w:szCs w:val="36"/>
          <w:lang w:val="en-US" w:eastAsia="zh-CN" w:bidi="ar-SA"/>
        </w:rPr>
        <w:t>2.双极功能</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双极凝血模式可设置为精确、标准、宏，以及双极柔和电凝。</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双极凝血模式精确、标准、宏的工作频率≥430kHz，双极柔和电凝的工作频率≥350kHz。</w:t>
      </w:r>
    </w:p>
    <w:p>
      <w:pPr>
        <w:wordWrap w:val="0"/>
        <w:jc w:val="both"/>
        <w:rPr>
          <w:rFonts w:hint="eastAsia" w:ascii="仿宋_GB2312" w:hAnsi="仿宋_GB2312" w:eastAsia="仿宋_GB2312" w:cs="仿宋_GB2312"/>
          <w:b/>
          <w:bCs/>
          <w:kern w:val="2"/>
          <w:sz w:val="30"/>
          <w:szCs w:val="30"/>
          <w:lang w:val="en-US" w:eastAsia="zh-CN" w:bidi="ar-SA"/>
        </w:rPr>
        <w:sectPr>
          <w:pgSz w:w="11900" w:h="16840"/>
          <w:pgMar w:top="1420" w:right="1800" w:bottom="1420" w:left="1800" w:header="0" w:footer="1420" w:gutter="0"/>
          <w:cols w:space="720" w:num="1"/>
          <w:titlePg/>
          <w:docGrid w:type="lines" w:linePitch="0" w:charSpace="0"/>
        </w:sectPr>
      </w:pPr>
      <w:r>
        <w:rPr>
          <w:rFonts w:hint="eastAsia" w:ascii="仿宋_GB2312" w:hAnsi="仿宋_GB2312" w:eastAsia="仿宋_GB2312" w:cs="仿宋_GB2312"/>
          <w:b/>
          <w:bCs/>
          <w:kern w:val="2"/>
          <w:sz w:val="30"/>
          <w:szCs w:val="30"/>
          <w:lang w:val="en-US" w:eastAsia="zh-CN" w:bidi="ar-SA"/>
        </w:rPr>
        <w:t>三、功率要求</w:t>
      </w:r>
    </w:p>
    <w:p>
      <w:pPr>
        <w:wordWrap w:val="0"/>
        <w:jc w:val="both"/>
        <w:rPr>
          <w:rFonts w:hint="eastAsia" w:ascii="仿宋_GB2312" w:hAnsi="仿宋_GB2312" w:eastAsia="仿宋_GB2312" w:cs="仿宋_GB2312"/>
          <w:b/>
          <w:bCs/>
          <w:kern w:val="2"/>
          <w:sz w:val="28"/>
          <w:szCs w:val="36"/>
          <w:lang w:val="en-US" w:eastAsia="zh-CN" w:bidi="ar-SA"/>
        </w:rPr>
      </w:pPr>
      <w:r>
        <w:rPr>
          <w:rFonts w:hint="eastAsia" w:ascii="仿宋_GB2312" w:hAnsi="仿宋_GB2312" w:eastAsia="仿宋_GB2312" w:cs="仿宋_GB2312"/>
          <w:b/>
          <w:bCs/>
          <w:kern w:val="2"/>
          <w:sz w:val="28"/>
          <w:szCs w:val="36"/>
          <w:lang w:val="en-US" w:eastAsia="zh-CN" w:bidi="ar-SA"/>
        </w:rPr>
        <w:t>1.电切功率</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纯切模式功率0-300W可调，1-40W：步长1W；40-100W：步长5W；100-300W：步长10W；方便功率调节，提高操作效率；峰值电压≥1285Vp。</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混切模式功率0-200W可调；步长1W；40-100W：步长5W；100-200W：步长10W；方便功率调节，提高操作效率；峰值电压≥2175Vp。，</w:t>
      </w:r>
    </w:p>
    <w:p>
      <w:pPr>
        <w:wordWrap w:val="0"/>
        <w:jc w:val="both"/>
        <w:rPr>
          <w:rFonts w:hint="eastAsia" w:ascii="仿宋_GB2312" w:hAnsi="仿宋_GB2312" w:eastAsia="仿宋_GB2312" w:cs="仿宋_GB2312"/>
          <w:b/>
          <w:bCs/>
          <w:kern w:val="2"/>
          <w:sz w:val="28"/>
          <w:szCs w:val="36"/>
          <w:lang w:val="en-US" w:eastAsia="zh-CN" w:bidi="ar-SA"/>
        </w:rPr>
      </w:pPr>
      <w:r>
        <w:rPr>
          <w:rFonts w:hint="eastAsia" w:ascii="仿宋_GB2312" w:hAnsi="仿宋_GB2312" w:eastAsia="仿宋_GB2312" w:cs="仿宋_GB2312"/>
          <w:b/>
          <w:bCs/>
          <w:kern w:val="2"/>
          <w:sz w:val="28"/>
          <w:szCs w:val="36"/>
          <w:lang w:val="en-US" w:eastAsia="zh-CN" w:bidi="ar-SA"/>
        </w:rPr>
        <w:t>2.电凝功率</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软凝模式功率0-120W可调；1-40W：步长1W；40-100W：步长5W；100-120W：步长10W；方便功率调节，提高操作效率；峰值电压≥260Vp。</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电灼模式功率0-120W可调；1-40W：步长1W；40-100W：步长5W；100-120W：步长10W；方便功率调节，提高操作效率；峰值电压≥3445Vp。</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喷凝模式功率0-120W可调；1-40W：步长1W；40-100W：步长5W；100-120W：步长10W；方便功率调节，提高操作效率；峰值电压≥3930Vp，可使操作距离范围更大。</w:t>
      </w:r>
    </w:p>
    <w:p>
      <w:pPr>
        <w:wordWrap w:val="0"/>
        <w:jc w:val="both"/>
        <w:rPr>
          <w:rFonts w:hint="eastAsia" w:ascii="仿宋_GB2312" w:hAnsi="仿宋_GB2312" w:eastAsia="仿宋_GB2312" w:cs="仿宋_GB2312"/>
          <w:b/>
          <w:bCs/>
          <w:kern w:val="2"/>
          <w:sz w:val="28"/>
          <w:szCs w:val="36"/>
          <w:lang w:val="en-US" w:eastAsia="zh-CN" w:bidi="ar-SA"/>
        </w:rPr>
      </w:pPr>
      <w:r>
        <w:rPr>
          <w:rFonts w:hint="eastAsia" w:ascii="仿宋_GB2312" w:hAnsi="仿宋_GB2312" w:eastAsia="仿宋_GB2312" w:cs="仿宋_GB2312"/>
          <w:b/>
          <w:bCs/>
          <w:kern w:val="2"/>
          <w:sz w:val="28"/>
          <w:szCs w:val="36"/>
          <w:lang w:val="en-US" w:eastAsia="zh-CN" w:bidi="ar-SA"/>
        </w:rPr>
        <w:t>3.双极功率</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双极凝结模式可设置为精确、标准、宏，以及双极柔和电凝。</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双极凝结模式精确、标准、宏的工作频率≥430kHz，双极柔和电凝的工作频率≥350kHz．精确模式功率0-70W可调；1-40W：步长 1W；40-70W：步长5W；100-300W：步长10W；方便功率调节，提高操作效率；峰值电压≥280Vp。</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标准模式功率0-70W可调；1-40W：步长1W；40-70W：步长5W；100-300W：步长10W；方便功率调节，提高操作效率；峰值电压≥415Vp。</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宏模式功率0-70W可调；1-40W：步长1W；40-70W：步长5W；100-300W：步长10W；方便功率调节，提高操作效率；峰值电压≥530Vp。</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双极柔和电凝模式功率0-70W可调；1-10W：步长1W；10-70W：步长2W；方便功率调节，提高操作效率；峰值电压≥150Vp。</w:t>
      </w:r>
    </w:p>
    <w:p>
      <w:pPr>
        <w:wordWrap w:val="0"/>
        <w:jc w:val="both"/>
        <w:rPr>
          <w:rFonts w:hint="eastAsia" w:ascii="仿宋_GB2312" w:hAnsi="仿宋_GB2312" w:eastAsia="仿宋_GB2312" w:cs="仿宋_GB2312"/>
          <w:b/>
          <w:bCs/>
          <w:kern w:val="2"/>
          <w:sz w:val="28"/>
          <w:szCs w:val="36"/>
          <w:lang w:val="en-US" w:eastAsia="zh-CN" w:bidi="ar-SA"/>
        </w:rPr>
      </w:pPr>
      <w:r>
        <w:rPr>
          <w:rFonts w:hint="eastAsia" w:ascii="仿宋_GB2312" w:hAnsi="仿宋_GB2312" w:eastAsia="仿宋_GB2312" w:cs="仿宋_GB2312"/>
          <w:b/>
          <w:bCs/>
          <w:kern w:val="2"/>
          <w:sz w:val="28"/>
          <w:szCs w:val="36"/>
          <w:lang w:val="en-US" w:eastAsia="zh-CN" w:bidi="ar-SA"/>
        </w:rPr>
        <w:t>四、其他功能要求</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支持75％乙醇、3M全能强效多酶清洗液等多种清洁消毒剂对设备进行消毒。</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工作环境条件：温度10～30℃，相对湿度（非冷凝）15～85％，大气压70～106kPa。</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电源输入电压100-240 VAC （±10％），工作电流8-3.4A，频率50／60Hz，输入功率≤800VA，额定输出功率≥300W。</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语言功能：有多种语言进行选择，可以设置中文菜单。</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USB接口：具备USB 接口，连接USB 存储设备进行系统升级。</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具备以太网接口，支持数据传输功能。</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具备CAN接口，支持与其他设备互联，协同工作。</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具备负极板接触质量监控系统，有效监测中性电极回路，避免患者烧伤风险，如发生中性电极撕脱，主机发出警报音并在显示屏提示报错，同时停止能量输出。</w:t>
      </w:r>
    </w:p>
    <w:p>
      <w:pPr>
        <w:wordWrap w:val="0"/>
        <w:jc w:val="both"/>
        <w:rPr>
          <w:rFonts w:hint="eastAsia" w:ascii="仿宋_GB2312" w:hAnsi="仿宋_GB2312" w:eastAsia="仿宋_GB2312" w:cs="仿宋_GB2312"/>
          <w:b/>
          <w:bCs/>
          <w:kern w:val="2"/>
          <w:sz w:val="28"/>
          <w:szCs w:val="36"/>
          <w:lang w:val="en-US" w:eastAsia="zh-CN" w:bidi="ar-SA"/>
        </w:rPr>
      </w:pPr>
      <w:r>
        <w:rPr>
          <w:rFonts w:hint="eastAsia" w:ascii="仿宋_GB2312" w:hAnsi="仿宋_GB2312" w:eastAsia="仿宋_GB2312" w:cs="仿宋_GB2312"/>
          <w:b/>
          <w:bCs/>
          <w:kern w:val="2"/>
          <w:sz w:val="28"/>
          <w:szCs w:val="36"/>
          <w:lang w:val="en-US" w:eastAsia="zh-CN" w:bidi="ar-SA"/>
        </w:rPr>
        <w:t>五、其他要求</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1、在云南至少配有2名经认证工程师；</w:t>
      </w:r>
    </w:p>
    <w:p>
      <w:pPr>
        <w:wordWrap w:val="0"/>
        <w:jc w:val="both"/>
        <w:rPr>
          <w:rFonts w:hint="eastAsia" w:ascii="仿宋_GB2312" w:hAnsi="仿宋_GB2312" w:eastAsia="仿宋_GB2312" w:cs="仿宋_GB2312"/>
          <w:kern w:val="2"/>
          <w:sz w:val="28"/>
          <w:szCs w:val="36"/>
          <w:lang w:val="en-US" w:eastAsia="zh-CN" w:bidi="ar-SA"/>
        </w:rPr>
      </w:pPr>
      <w:r>
        <w:rPr>
          <w:rFonts w:hint="eastAsia" w:ascii="仿宋_GB2312" w:hAnsi="仿宋_GB2312" w:eastAsia="仿宋_GB2312" w:cs="仿宋_GB2312"/>
          <w:kern w:val="2"/>
          <w:sz w:val="28"/>
          <w:szCs w:val="36"/>
          <w:lang w:val="en-US" w:eastAsia="zh-CN" w:bidi="ar-SA"/>
        </w:rPr>
        <w:t>2、维修响应时间：2小时响应，48小时未解决问题提供备用机。</w:t>
      </w:r>
    </w:p>
    <w:p>
      <w:pPr>
        <w:wordWrap w:val="0"/>
        <w:jc w:val="both"/>
        <w:rPr>
          <w:rFonts w:hint="eastAsia" w:ascii="仿宋_GB2312" w:hAnsi="仿宋_GB2312" w:eastAsia="仿宋_GB2312" w:cs="仿宋_GB2312"/>
          <w:sz w:val="28"/>
          <w:szCs w:val="36"/>
        </w:rPr>
      </w:pP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供应商每有一条参数不响应扣</w:t>
      </w:r>
      <w:r>
        <w:rPr>
          <w:rFonts w:hint="eastAsia" w:ascii="仿宋_GB2312" w:hAnsi="仿宋_GB2312" w:eastAsia="仿宋_GB2312" w:cs="仿宋_GB2312"/>
          <w:sz w:val="28"/>
          <w:szCs w:val="36"/>
          <w:lang w:val="en-US" w:eastAsia="zh-CN"/>
        </w:rPr>
        <w:t>5</w:t>
      </w:r>
      <w:r>
        <w:rPr>
          <w:rFonts w:hint="eastAsia" w:ascii="仿宋_GB2312" w:hAnsi="仿宋_GB2312" w:eastAsia="仿宋_GB2312" w:cs="仿宋_GB2312"/>
          <w:sz w:val="28"/>
          <w:szCs w:val="36"/>
        </w:rPr>
        <w:t>分，分数扣完为止。技术和功能响应未描述或未提供相应支撑材料的，对应项不得分。</w:t>
      </w:r>
    </w:p>
    <w:p>
      <w:pPr>
        <w:rPr>
          <w:rFonts w:hint="eastAsia" w:ascii="仿宋_GB2312" w:hAnsi="仿宋_GB2312" w:eastAsia="仿宋_GB2312" w:cs="仿宋_GB2312"/>
          <w:sz w:val="28"/>
          <w:szCs w:val="36"/>
          <w:lang w:val="en-US" w:eastAsia="zh-CN"/>
        </w:rPr>
      </w:pP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仿宋_GB2312" w:hAnsi="仿宋_GB2312" w:eastAsia="仿宋_GB2312" w:cs="仿宋_GB2312"/>
          <w:kern w:val="2"/>
          <w:sz w:val="28"/>
          <w:szCs w:val="36"/>
          <w:lang w:val="en-US" w:eastAsia="zh-CN" w:bidi="ar-SA"/>
        </w:rPr>
        <w:sectPr>
          <w:pgSz w:w="11900" w:h="16840"/>
          <w:pgMar w:top="1420" w:right="1800" w:bottom="1420" w:left="1800" w:header="0" w:footer="1420" w:gutter="0"/>
          <w:cols w:space="720" w:num="1"/>
          <w:titlePg/>
          <w:docGrid w:type="lines" w:linePitch="0" w:charSpace="0"/>
        </w:sectPr>
      </w:pPr>
      <w:r>
        <w:rPr>
          <w:rFonts w:hint="eastAsia" w:ascii="仿宋_GB2312" w:hAnsi="仿宋_GB2312" w:eastAsia="仿宋_GB2312" w:cs="仿宋_GB2312"/>
          <w:sz w:val="28"/>
          <w:szCs w:val="36"/>
        </w:rPr>
        <w:t>4.质保不少于4年</w:t>
      </w:r>
      <w:r>
        <w:rPr>
          <w:rFonts w:hint="eastAsia" w:ascii="仿宋_GB2312" w:hAnsi="仿宋_GB2312" w:eastAsia="仿宋_GB2312" w:cs="仿宋_GB2312"/>
          <w:sz w:val="28"/>
          <w:szCs w:val="36"/>
          <w:lang w:eastAsia="zh-CN"/>
        </w:rPr>
        <w:t>。</w:t>
      </w:r>
    </w:p>
    <w:p/>
    <w:sectPr>
      <w:pgSz w:w="11900" w:h="16840"/>
      <w:pgMar w:top="1420" w:right="1800" w:bottom="1420" w:left="1800" w:header="0" w:footer="1420" w:gutter="0"/>
      <w:cols w:space="4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compat>
    <w:useFELayout/>
    <w:splitPgBreakAndParaMark/>
    <w:compatSetting w:name="compatibilityMode" w:uri="http://schemas.microsoft.com/office/word" w:val="12"/>
  </w:compat>
  <w:rsids>
    <w:rsidRoot w:val="00000000"/>
    <w:rsid w:val="1B7F2729"/>
    <w:rsid w:val="1C6F600A"/>
    <w:rsid w:val="31BE0193"/>
    <w:rsid w:val="38743299"/>
    <w:rsid w:val="45C810F9"/>
    <w:rsid w:val="4BB96C5D"/>
    <w:rsid w:val="4C8B4657"/>
    <w:rsid w:val="59DD599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Office_11.8.6.10973_F1E327BC-269C-435d-A152-05C5408002CA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2025-08-05T08:23:41Z</dcterms:created>
  <dc:creator>openxml-sdk </dc:creator>
  <dc:description>openxml-sdk, CCi Textin Word Converter, JL</dc:description>
  <cp:keywords>CCi</cp:keywords>
  <cp:lastModifiedBy>Administrator</cp:lastModifiedBy>
  <dcterms:modified xsi:type="dcterms:W3CDTF">2025-08-05T08:37:34Z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1C37CEFF7F834154860464085B082F51</vt:lpwstr>
  </property>
</Properties>
</file>